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2026-23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Rahmenvereinbarung Multifunktionsgeräte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